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</w:t>
      </w:r>
      <w:bookmarkStart w:id="0" w:name="_GoBack"/>
      <w:bookmarkEnd w:id="0"/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Банковская отчетность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H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01.12.2019 г.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БНП ПАРИБА БАНК АО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6525E9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.р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>.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10510459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64120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64120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из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от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по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8328435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,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по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6525E9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8328435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2182024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в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из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348750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1833274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,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по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10510459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с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32496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2182024 |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6525E9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>.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.р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>.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.р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>.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3.1. реализованный        -399089 тыс. руб.;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3.2. нереализованный        1185164 тыс. руб.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Пьер 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Бонен</w:t>
      </w:r>
      <w:proofErr w:type="spell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6525E9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6525E9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 xml:space="preserve">Исполнитель       </w:t>
      </w:r>
      <w:proofErr w:type="spellStart"/>
      <w:r w:rsidRPr="006525E9">
        <w:rPr>
          <w:rFonts w:ascii="Courier New" w:hAnsi="Courier New" w:cs="Courier New"/>
          <w:sz w:val="12"/>
          <w:szCs w:val="12"/>
        </w:rPr>
        <w:t>Н.В.Шуманова</w:t>
      </w:r>
      <w:proofErr w:type="spellEnd"/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Телефон:   785-60-19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05.12.2019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39339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2139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25.01.2019</w:t>
      </w:r>
    </w:p>
    <w:p w:rsidR="00E57AC2" w:rsidRPr="006525E9" w:rsidRDefault="00E57AC2" w:rsidP="00E57AC2">
      <w:pPr>
        <w:pStyle w:val="PlainText"/>
        <w:rPr>
          <w:rFonts w:ascii="Courier New" w:hAnsi="Courier New" w:cs="Courier New"/>
          <w:sz w:val="12"/>
          <w:szCs w:val="12"/>
        </w:rPr>
      </w:pPr>
      <w:r w:rsidRPr="006525E9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6525E9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6525E9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E57AC2" w:rsidRPr="006525E9" w:rsidSect="00BE2C8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6525E9"/>
    <w:rsid w:val="00E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2C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C8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2C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C8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4606</Words>
  <Characters>39438</Characters>
  <Application>Microsoft Office Word</Application>
  <DocSecurity>0</DocSecurity>
  <Lines>539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Classification=Select Classification Level, Classification=Public</cp:keywords>
  <cp:lastModifiedBy>Konstantin RUCHKIN</cp:lastModifiedBy>
  <cp:revision>2</cp:revision>
  <dcterms:created xsi:type="dcterms:W3CDTF">2020-01-13T09:37:00Z</dcterms:created>
  <dcterms:modified xsi:type="dcterms:W3CDTF">2020-01-13T09:37:00Z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1b3e1c0a-528d-4e92-9f0f-f207e17b4626</vt:lpwstr>
  </property>
  <property fmtid="{D5CDD505-2E9C-101B-9397-08002B2CF9AE}" pid="3" name="Classification">
    <vt:lpwstr>Public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</Properties>
</file>