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D26" w:rsidRPr="006019C7" w:rsidRDefault="00CF6D26" w:rsidP="00CF6D26">
      <w:pPr>
        <w:pStyle w:val="Default"/>
        <w:ind w:firstLine="700"/>
        <w:jc w:val="right"/>
        <w:rPr>
          <w:color w:val="auto"/>
          <w:sz w:val="22"/>
          <w:szCs w:val="22"/>
        </w:rPr>
      </w:pPr>
    </w:p>
    <w:p w:rsidR="00CF6D26" w:rsidRPr="006019C7" w:rsidRDefault="00CF6D26" w:rsidP="00CF6D26">
      <w:pPr>
        <w:pStyle w:val="Default"/>
        <w:ind w:firstLine="700"/>
        <w:jc w:val="both"/>
        <w:rPr>
          <w:color w:val="auto"/>
          <w:sz w:val="22"/>
          <w:szCs w:val="22"/>
        </w:rPr>
      </w:pPr>
    </w:p>
    <w:p w:rsidR="00CF6D26" w:rsidRPr="006019C7" w:rsidRDefault="00CF6D26" w:rsidP="00CF6D26">
      <w:pPr>
        <w:pStyle w:val="Default"/>
        <w:ind w:firstLine="700"/>
        <w:jc w:val="both"/>
        <w:rPr>
          <w:color w:val="auto"/>
          <w:sz w:val="22"/>
          <w:szCs w:val="22"/>
          <w:lang w:val="en-US"/>
        </w:rPr>
      </w:pPr>
    </w:p>
    <w:tbl>
      <w:tblPr>
        <w:tblW w:w="0" w:type="auto"/>
        <w:tblLook w:val="01E0" w:firstRow="1" w:lastRow="1" w:firstColumn="1" w:lastColumn="1" w:noHBand="0" w:noVBand="0"/>
      </w:tblPr>
      <w:tblGrid>
        <w:gridCol w:w="4264"/>
        <w:gridCol w:w="4264"/>
      </w:tblGrid>
      <w:tr w:rsidR="00CF6D26" w:rsidRPr="003201CB" w:rsidTr="00016407">
        <w:trPr>
          <w:tblHeader/>
        </w:trPr>
        <w:tc>
          <w:tcPr>
            <w:tcW w:w="4264" w:type="dxa"/>
            <w:shd w:val="clear" w:color="auto" w:fill="CCCCCC"/>
          </w:tcPr>
          <w:p w:rsidR="00CF6D26" w:rsidRPr="003201CB" w:rsidRDefault="00CF6D26" w:rsidP="00016407">
            <w:pPr>
              <w:pStyle w:val="Default"/>
              <w:jc w:val="center"/>
              <w:rPr>
                <w:color w:val="auto"/>
                <w:sz w:val="22"/>
                <w:szCs w:val="22"/>
              </w:rPr>
            </w:pPr>
            <w:bookmarkStart w:id="0" w:name="_GoBack"/>
            <w:r w:rsidRPr="003D634C">
              <w:rPr>
                <w:b/>
                <w:bCs/>
                <w:color w:val="auto"/>
                <w:sz w:val="22"/>
                <w:szCs w:val="22"/>
              </w:rPr>
              <w:t>ДЕКЛАРАЦИЯ О РИСКАХ, СВЯЗАННЫХ С СОВМЕЩЕНИЕМ БАНКОМ РАЗЛИЧНЫХ ВИДОВ ПРОФЕССИОНАЛЬНОЙ ДЕЯТЕЛЬНОСТИ</w:t>
            </w:r>
            <w:bookmarkEnd w:id="0"/>
          </w:p>
        </w:tc>
        <w:tc>
          <w:tcPr>
            <w:tcW w:w="4264" w:type="dxa"/>
            <w:shd w:val="clear" w:color="auto" w:fill="CCCCCC"/>
          </w:tcPr>
          <w:p w:rsidR="00CF6D26" w:rsidRPr="003201CB" w:rsidRDefault="00CF6D26" w:rsidP="00016407">
            <w:pPr>
              <w:pStyle w:val="Default"/>
              <w:ind w:firstLine="700"/>
              <w:jc w:val="center"/>
              <w:rPr>
                <w:b/>
                <w:bCs/>
                <w:color w:val="auto"/>
                <w:sz w:val="22"/>
                <w:szCs w:val="22"/>
                <w:lang w:val="en-US"/>
              </w:rPr>
            </w:pPr>
            <w:r>
              <w:rPr>
                <w:b/>
                <w:bCs/>
                <w:color w:val="auto"/>
                <w:sz w:val="22"/>
                <w:szCs w:val="22"/>
                <w:lang w:val="en-US"/>
              </w:rPr>
              <w:t>DECLARATION OF RISK RELATED TO COMBINING BY THE BANK OF VARIOUS TYPES OF PROFESSIONAL ACTIVITY</w:t>
            </w:r>
          </w:p>
          <w:p w:rsidR="00CF6D26" w:rsidRPr="003201CB" w:rsidRDefault="00CF6D26" w:rsidP="00016407">
            <w:pPr>
              <w:pStyle w:val="Default"/>
              <w:jc w:val="center"/>
              <w:rPr>
                <w:color w:val="auto"/>
                <w:sz w:val="22"/>
                <w:szCs w:val="22"/>
                <w:lang w:val="en-US"/>
              </w:rPr>
            </w:pPr>
          </w:p>
        </w:tc>
      </w:tr>
      <w:tr w:rsidR="00CF6D26" w:rsidRPr="003201CB" w:rsidTr="00016407">
        <w:trPr>
          <w:tblHeader/>
        </w:trPr>
        <w:tc>
          <w:tcPr>
            <w:tcW w:w="4264" w:type="dxa"/>
            <w:shd w:val="clear" w:color="auto" w:fill="auto"/>
          </w:tcPr>
          <w:p w:rsidR="00CF6D26" w:rsidRPr="003201CB" w:rsidRDefault="00CF6D26" w:rsidP="00016407">
            <w:pPr>
              <w:pStyle w:val="Default"/>
              <w:jc w:val="both"/>
              <w:rPr>
                <w:color w:val="auto"/>
                <w:sz w:val="22"/>
                <w:szCs w:val="22"/>
                <w:lang w:val="en-US"/>
              </w:rPr>
            </w:pPr>
          </w:p>
        </w:tc>
        <w:tc>
          <w:tcPr>
            <w:tcW w:w="4264" w:type="dxa"/>
            <w:shd w:val="clear" w:color="auto" w:fill="auto"/>
          </w:tcPr>
          <w:p w:rsidR="00CF6D26" w:rsidRPr="003201CB" w:rsidRDefault="00CF6D26" w:rsidP="00016407">
            <w:pPr>
              <w:pStyle w:val="Default"/>
              <w:jc w:val="both"/>
              <w:rPr>
                <w:color w:val="auto"/>
                <w:sz w:val="22"/>
                <w:szCs w:val="22"/>
                <w:lang w:val="en-US"/>
              </w:rPr>
            </w:pPr>
          </w:p>
        </w:tc>
      </w:tr>
      <w:tr w:rsidR="00CF6D26" w:rsidRPr="003201CB" w:rsidTr="00016407">
        <w:tc>
          <w:tcPr>
            <w:tcW w:w="4264" w:type="dxa"/>
            <w:shd w:val="clear" w:color="auto" w:fill="auto"/>
          </w:tcPr>
          <w:p w:rsidR="00CF6D26" w:rsidRPr="003201CB" w:rsidRDefault="00CF6D26" w:rsidP="00016407">
            <w:pPr>
              <w:pStyle w:val="Default"/>
              <w:jc w:val="both"/>
              <w:rPr>
                <w:color w:val="auto"/>
                <w:sz w:val="22"/>
                <w:szCs w:val="22"/>
              </w:rPr>
            </w:pPr>
            <w:r w:rsidRPr="003D634C">
              <w:rPr>
                <w:color w:val="auto"/>
                <w:sz w:val="22"/>
                <w:szCs w:val="22"/>
              </w:rPr>
              <w:t>1. Банк доводит до сведения всех Клиентов информацию о том, что, имея соответствующие лицензии, совмещает  несколько  видов  профессиональной  деятельности  на рынке  ценных  бумаг:  брокерскую,  дилерскую</w:t>
            </w:r>
            <w:r w:rsidRPr="00E461C7">
              <w:rPr>
                <w:sz w:val="22"/>
                <w:szCs w:val="22"/>
              </w:rPr>
              <w:t>.</w:t>
            </w:r>
          </w:p>
        </w:tc>
        <w:tc>
          <w:tcPr>
            <w:tcW w:w="4264" w:type="dxa"/>
            <w:shd w:val="clear" w:color="auto" w:fill="auto"/>
          </w:tcPr>
          <w:p w:rsidR="00CF6D26" w:rsidRPr="003201CB" w:rsidRDefault="00CF6D26" w:rsidP="00016407">
            <w:pPr>
              <w:pStyle w:val="Default"/>
              <w:jc w:val="both"/>
              <w:rPr>
                <w:color w:val="auto"/>
                <w:sz w:val="22"/>
                <w:szCs w:val="22"/>
                <w:lang w:val="en-US"/>
              </w:rPr>
            </w:pPr>
            <w:r>
              <w:rPr>
                <w:color w:val="auto"/>
                <w:sz w:val="22"/>
                <w:szCs w:val="22"/>
                <w:lang w:val="en-US"/>
              </w:rPr>
              <w:t xml:space="preserve">1. </w:t>
            </w:r>
            <w:r w:rsidRPr="00F75B26">
              <w:rPr>
                <w:color w:val="auto"/>
                <w:sz w:val="22"/>
                <w:szCs w:val="22"/>
                <w:lang w:val="en-US"/>
              </w:rPr>
              <w:t>The Bank hereby informs all the Clients that the Bank combines several types of professional activities in the securities market (brokerage, dealership) with the corresponding licenses available</w:t>
            </w:r>
            <w:r>
              <w:rPr>
                <w:color w:val="auto"/>
                <w:sz w:val="22"/>
                <w:szCs w:val="22"/>
                <w:lang w:val="en-US"/>
              </w:rPr>
              <w:t>.</w:t>
            </w:r>
          </w:p>
        </w:tc>
      </w:tr>
      <w:tr w:rsidR="00CF6D26" w:rsidRPr="003201CB" w:rsidTr="00016407">
        <w:tc>
          <w:tcPr>
            <w:tcW w:w="4264" w:type="dxa"/>
            <w:shd w:val="clear" w:color="auto" w:fill="auto"/>
          </w:tcPr>
          <w:p w:rsidR="00CF6D26" w:rsidRPr="003201CB" w:rsidRDefault="00CF6D26" w:rsidP="00016407">
            <w:pPr>
              <w:pStyle w:val="Default"/>
              <w:jc w:val="both"/>
              <w:rPr>
                <w:color w:val="auto"/>
                <w:sz w:val="22"/>
                <w:szCs w:val="22"/>
                <w:lang w:val="en-US"/>
              </w:rPr>
            </w:pPr>
          </w:p>
        </w:tc>
        <w:tc>
          <w:tcPr>
            <w:tcW w:w="4264" w:type="dxa"/>
            <w:shd w:val="clear" w:color="auto" w:fill="auto"/>
          </w:tcPr>
          <w:p w:rsidR="00CF6D26" w:rsidRPr="003201CB" w:rsidRDefault="00CF6D26" w:rsidP="00016407">
            <w:pPr>
              <w:pStyle w:val="Default"/>
              <w:jc w:val="both"/>
              <w:rPr>
                <w:color w:val="auto"/>
                <w:sz w:val="22"/>
                <w:szCs w:val="22"/>
                <w:lang w:val="en-US"/>
              </w:rPr>
            </w:pPr>
          </w:p>
        </w:tc>
      </w:tr>
      <w:tr w:rsidR="00CF6D26" w:rsidRPr="003201CB" w:rsidTr="00016407">
        <w:tc>
          <w:tcPr>
            <w:tcW w:w="4264" w:type="dxa"/>
            <w:shd w:val="clear" w:color="auto" w:fill="auto"/>
          </w:tcPr>
          <w:p w:rsidR="00CF6D26" w:rsidRPr="003201CB" w:rsidRDefault="00CF6D26" w:rsidP="00016407">
            <w:pPr>
              <w:pStyle w:val="Default"/>
              <w:jc w:val="both"/>
              <w:rPr>
                <w:color w:val="auto"/>
                <w:sz w:val="22"/>
                <w:szCs w:val="22"/>
              </w:rPr>
            </w:pPr>
            <w:r w:rsidRPr="003D634C">
              <w:rPr>
                <w:sz w:val="22"/>
                <w:szCs w:val="22"/>
              </w:rPr>
              <w:t xml:space="preserve">2. Под рисками совмещения различных видов профессиональной деятельности на рынке ценных бумаг,  в  целях  настоящего  документа,  понимается  возможность  нанесения  ущерба  Клиенту </w:t>
            </w:r>
            <w:proofErr w:type="gramStart"/>
            <w:r w:rsidRPr="003D634C">
              <w:rPr>
                <w:sz w:val="22"/>
                <w:szCs w:val="22"/>
              </w:rPr>
              <w:t>вследствие</w:t>
            </w:r>
            <w:proofErr w:type="gramEnd"/>
            <w:r w:rsidRPr="003D634C">
              <w:rPr>
                <w:sz w:val="22"/>
                <w:szCs w:val="22"/>
              </w:rPr>
              <w:t>:</w:t>
            </w:r>
          </w:p>
        </w:tc>
        <w:tc>
          <w:tcPr>
            <w:tcW w:w="4264" w:type="dxa"/>
            <w:shd w:val="clear" w:color="auto" w:fill="auto"/>
          </w:tcPr>
          <w:p w:rsidR="00CF6D26" w:rsidRPr="003201CB" w:rsidRDefault="00CF6D26" w:rsidP="00016407">
            <w:pPr>
              <w:pStyle w:val="Default"/>
              <w:jc w:val="both"/>
              <w:rPr>
                <w:color w:val="auto"/>
                <w:sz w:val="22"/>
                <w:szCs w:val="22"/>
                <w:lang w:val="en-US"/>
              </w:rPr>
            </w:pPr>
            <w:r>
              <w:rPr>
                <w:color w:val="auto"/>
                <w:sz w:val="22"/>
                <w:szCs w:val="22"/>
                <w:lang w:val="en-US"/>
              </w:rPr>
              <w:t xml:space="preserve">2. </w:t>
            </w:r>
            <w:r w:rsidRPr="00F75B26">
              <w:rPr>
                <w:color w:val="auto"/>
                <w:sz w:val="22"/>
                <w:szCs w:val="22"/>
                <w:lang w:val="en-US"/>
              </w:rPr>
              <w:t>For the purposes of this Declaration, the risks of combining various types of professional activities in the securities market mean the possibility of causing damage to the Client due to:</w:t>
            </w:r>
          </w:p>
        </w:tc>
      </w:tr>
      <w:tr w:rsidR="00CF6D26" w:rsidRPr="003201CB" w:rsidTr="00016407">
        <w:tc>
          <w:tcPr>
            <w:tcW w:w="4264" w:type="dxa"/>
            <w:shd w:val="clear" w:color="auto" w:fill="auto"/>
          </w:tcPr>
          <w:p w:rsidR="00CF6D26" w:rsidRPr="003201CB" w:rsidRDefault="00CF6D26" w:rsidP="00016407">
            <w:pPr>
              <w:pStyle w:val="Default"/>
              <w:jc w:val="both"/>
              <w:rPr>
                <w:sz w:val="22"/>
                <w:szCs w:val="22"/>
                <w:lang w:val="en-US"/>
              </w:rPr>
            </w:pPr>
          </w:p>
        </w:tc>
        <w:tc>
          <w:tcPr>
            <w:tcW w:w="4264" w:type="dxa"/>
            <w:shd w:val="clear" w:color="auto" w:fill="auto"/>
          </w:tcPr>
          <w:p w:rsidR="00CF6D26" w:rsidRPr="003201CB" w:rsidRDefault="00CF6D26" w:rsidP="00016407">
            <w:pPr>
              <w:pStyle w:val="Default"/>
              <w:jc w:val="both"/>
              <w:rPr>
                <w:color w:val="auto"/>
                <w:sz w:val="22"/>
                <w:szCs w:val="22"/>
                <w:lang w:val="en-US"/>
              </w:rPr>
            </w:pPr>
          </w:p>
        </w:tc>
      </w:tr>
      <w:tr w:rsidR="00CF6D26" w:rsidRPr="003201CB" w:rsidTr="00016407">
        <w:tc>
          <w:tcPr>
            <w:tcW w:w="4264" w:type="dxa"/>
            <w:shd w:val="clear" w:color="auto" w:fill="auto"/>
          </w:tcPr>
          <w:p w:rsidR="00CF6D26" w:rsidRPr="00CF6D26" w:rsidRDefault="00CF6D26" w:rsidP="00016407">
            <w:pPr>
              <w:pStyle w:val="Default"/>
              <w:tabs>
                <w:tab w:val="left" w:pos="588"/>
              </w:tabs>
              <w:jc w:val="both"/>
              <w:rPr>
                <w:sz w:val="22"/>
                <w:szCs w:val="22"/>
              </w:rPr>
            </w:pPr>
            <w:r w:rsidRPr="00A946B4">
              <w:rPr>
                <w:sz w:val="22"/>
                <w:szCs w:val="22"/>
              </w:rPr>
              <w:t>-</w:t>
            </w:r>
            <w:r w:rsidRPr="00A946B4">
              <w:rPr>
                <w:sz w:val="22"/>
                <w:szCs w:val="22"/>
              </w:rPr>
              <w:tab/>
              <w:t xml:space="preserve">неправомерного  использования  сотрудниками  Банка,  осуществляющими профессиональную  </w:t>
            </w:r>
            <w:r w:rsidRPr="00CF6D26">
              <w:rPr>
                <w:sz w:val="22"/>
                <w:szCs w:val="22"/>
              </w:rPr>
              <w:t>деятельность  на  рынке  ценных  бумаг,  конфиденциальной  информации при проведении операций (сделок) на рынке ценных бумаг;</w:t>
            </w:r>
          </w:p>
        </w:tc>
        <w:tc>
          <w:tcPr>
            <w:tcW w:w="4264" w:type="dxa"/>
            <w:shd w:val="clear" w:color="auto" w:fill="auto"/>
          </w:tcPr>
          <w:p w:rsidR="00CF6D26" w:rsidRPr="003201CB" w:rsidRDefault="00CF6D26" w:rsidP="00016407">
            <w:pPr>
              <w:pStyle w:val="Default"/>
              <w:tabs>
                <w:tab w:val="left" w:pos="553"/>
              </w:tabs>
              <w:jc w:val="both"/>
              <w:rPr>
                <w:color w:val="auto"/>
                <w:sz w:val="22"/>
                <w:szCs w:val="22"/>
                <w:lang w:val="en-US"/>
              </w:rPr>
            </w:pPr>
            <w:r>
              <w:rPr>
                <w:color w:val="auto"/>
                <w:sz w:val="22"/>
                <w:szCs w:val="22"/>
                <w:lang w:val="en-US"/>
              </w:rPr>
              <w:t xml:space="preserve">- </w:t>
            </w:r>
            <w:r w:rsidRPr="00F75B26">
              <w:rPr>
                <w:color w:val="auto"/>
                <w:sz w:val="22"/>
                <w:szCs w:val="22"/>
                <w:lang w:val="en-US"/>
              </w:rPr>
              <w:t>misuse of confidential information for the purposes of operations (transactions) in the securities market by the Bank’s employees engaged in professional activities in the securities market</w:t>
            </w:r>
            <w:r>
              <w:rPr>
                <w:color w:val="auto"/>
                <w:sz w:val="22"/>
                <w:szCs w:val="22"/>
                <w:lang w:val="en-US"/>
              </w:rPr>
              <w:t>;</w:t>
            </w:r>
          </w:p>
        </w:tc>
      </w:tr>
      <w:tr w:rsidR="00CF6D26" w:rsidRPr="003201CB" w:rsidTr="00016407">
        <w:tc>
          <w:tcPr>
            <w:tcW w:w="4264" w:type="dxa"/>
            <w:shd w:val="clear" w:color="auto" w:fill="auto"/>
          </w:tcPr>
          <w:p w:rsidR="00CF6D26" w:rsidRPr="003201CB" w:rsidRDefault="00CF6D26" w:rsidP="00016407">
            <w:pPr>
              <w:pStyle w:val="Default"/>
              <w:jc w:val="both"/>
              <w:rPr>
                <w:sz w:val="22"/>
                <w:szCs w:val="22"/>
                <w:lang w:val="en-US"/>
              </w:rPr>
            </w:pPr>
          </w:p>
        </w:tc>
        <w:tc>
          <w:tcPr>
            <w:tcW w:w="4264" w:type="dxa"/>
            <w:shd w:val="clear" w:color="auto" w:fill="auto"/>
          </w:tcPr>
          <w:p w:rsidR="00CF6D26" w:rsidRPr="003201CB" w:rsidRDefault="00CF6D26" w:rsidP="00016407">
            <w:pPr>
              <w:pStyle w:val="Default"/>
              <w:jc w:val="both"/>
              <w:rPr>
                <w:color w:val="auto"/>
                <w:sz w:val="22"/>
                <w:szCs w:val="22"/>
                <w:lang w:val="en-US"/>
              </w:rPr>
            </w:pPr>
          </w:p>
        </w:tc>
      </w:tr>
      <w:tr w:rsidR="00CF6D26" w:rsidRPr="003201CB" w:rsidTr="00016407">
        <w:tc>
          <w:tcPr>
            <w:tcW w:w="4264" w:type="dxa"/>
            <w:shd w:val="clear" w:color="auto" w:fill="auto"/>
          </w:tcPr>
          <w:p w:rsidR="00CF6D26" w:rsidRPr="00A946B4" w:rsidRDefault="00CF6D26" w:rsidP="00016407">
            <w:pPr>
              <w:pStyle w:val="Default"/>
              <w:tabs>
                <w:tab w:val="left" w:pos="558"/>
              </w:tabs>
              <w:jc w:val="both"/>
              <w:rPr>
                <w:sz w:val="22"/>
                <w:szCs w:val="22"/>
              </w:rPr>
            </w:pPr>
            <w:r w:rsidRPr="00A946B4">
              <w:rPr>
                <w:sz w:val="22"/>
                <w:szCs w:val="22"/>
              </w:rPr>
              <w:t>-</w:t>
            </w:r>
            <w:r w:rsidRPr="00A946B4">
              <w:rPr>
                <w:sz w:val="22"/>
                <w:szCs w:val="22"/>
              </w:rPr>
              <w:tab/>
              <w:t>возникновения  конфликта  интересов,  а  именно,  нарушения  принципа  приоритетности  интересов  Клиента,  перед  интересами  Банка, которые  могут привести в результате действий (бездействия) Банка и его сотрудников к убыткам и/или неблагоприятным последствиям для Клиента;</w:t>
            </w:r>
          </w:p>
        </w:tc>
        <w:tc>
          <w:tcPr>
            <w:tcW w:w="4264" w:type="dxa"/>
            <w:shd w:val="clear" w:color="auto" w:fill="auto"/>
          </w:tcPr>
          <w:p w:rsidR="00CF6D26" w:rsidRPr="003201CB" w:rsidRDefault="00CF6D26" w:rsidP="00016407">
            <w:pPr>
              <w:pStyle w:val="Default"/>
              <w:jc w:val="both"/>
              <w:rPr>
                <w:color w:val="auto"/>
                <w:sz w:val="22"/>
                <w:szCs w:val="22"/>
                <w:lang w:val="en-US"/>
              </w:rPr>
            </w:pPr>
            <w:r>
              <w:rPr>
                <w:color w:val="auto"/>
                <w:sz w:val="22"/>
                <w:szCs w:val="22"/>
                <w:lang w:val="en-US"/>
              </w:rPr>
              <w:t xml:space="preserve">- </w:t>
            </w:r>
            <w:r w:rsidRPr="00F75B26">
              <w:rPr>
                <w:color w:val="auto"/>
                <w:sz w:val="22"/>
                <w:szCs w:val="22"/>
                <w:lang w:val="en-US"/>
              </w:rPr>
              <w:t>conflict of interest, notably, due to the breach of the principle of the Client’s interest priority over the Bank’s interest, which may result in actions (omission) of the Bank and its employees causing losses and / or adverse consequences for the Client</w:t>
            </w:r>
            <w:r>
              <w:rPr>
                <w:color w:val="auto"/>
                <w:sz w:val="22"/>
                <w:szCs w:val="22"/>
                <w:lang w:val="en-US"/>
              </w:rPr>
              <w:t>;</w:t>
            </w:r>
          </w:p>
        </w:tc>
      </w:tr>
      <w:tr w:rsidR="00CF6D26" w:rsidRPr="003201CB" w:rsidTr="00016407">
        <w:tc>
          <w:tcPr>
            <w:tcW w:w="4264" w:type="dxa"/>
            <w:shd w:val="clear" w:color="auto" w:fill="auto"/>
          </w:tcPr>
          <w:p w:rsidR="00CF6D26" w:rsidRPr="003201CB" w:rsidRDefault="00CF6D26" w:rsidP="00016407">
            <w:pPr>
              <w:pStyle w:val="Default"/>
              <w:jc w:val="both"/>
              <w:rPr>
                <w:sz w:val="22"/>
                <w:szCs w:val="22"/>
                <w:lang w:val="en-US"/>
              </w:rPr>
            </w:pPr>
          </w:p>
        </w:tc>
        <w:tc>
          <w:tcPr>
            <w:tcW w:w="4264" w:type="dxa"/>
            <w:shd w:val="clear" w:color="auto" w:fill="auto"/>
          </w:tcPr>
          <w:p w:rsidR="00CF6D26" w:rsidRPr="003201CB" w:rsidRDefault="00CF6D26" w:rsidP="00016407">
            <w:pPr>
              <w:pStyle w:val="Default"/>
              <w:jc w:val="both"/>
              <w:rPr>
                <w:color w:val="auto"/>
                <w:sz w:val="22"/>
                <w:szCs w:val="22"/>
                <w:lang w:val="en-US"/>
              </w:rPr>
            </w:pPr>
          </w:p>
        </w:tc>
      </w:tr>
      <w:tr w:rsidR="00CF6D26" w:rsidRPr="003201CB" w:rsidTr="00016407">
        <w:tc>
          <w:tcPr>
            <w:tcW w:w="4264" w:type="dxa"/>
            <w:shd w:val="clear" w:color="auto" w:fill="auto"/>
          </w:tcPr>
          <w:p w:rsidR="00CF6D26" w:rsidRPr="003201CB" w:rsidRDefault="00CF6D26" w:rsidP="00016407">
            <w:pPr>
              <w:pStyle w:val="Default"/>
              <w:tabs>
                <w:tab w:val="left" w:pos="568"/>
              </w:tabs>
              <w:jc w:val="both"/>
              <w:rPr>
                <w:sz w:val="22"/>
                <w:szCs w:val="22"/>
              </w:rPr>
            </w:pPr>
            <w:r w:rsidRPr="003D634C">
              <w:rPr>
                <w:sz w:val="22"/>
                <w:szCs w:val="22"/>
              </w:rPr>
              <w:t>-</w:t>
            </w:r>
            <w:r w:rsidRPr="003D634C">
              <w:rPr>
                <w:sz w:val="22"/>
                <w:szCs w:val="22"/>
              </w:rPr>
              <w:tab/>
              <w:t>неправомерного  и/или  ненадлежащего  использования  инсайдерской  информации, полученной в связи с осуществлением профессиональной деятельности;</w:t>
            </w:r>
          </w:p>
        </w:tc>
        <w:tc>
          <w:tcPr>
            <w:tcW w:w="4264" w:type="dxa"/>
            <w:shd w:val="clear" w:color="auto" w:fill="auto"/>
          </w:tcPr>
          <w:p w:rsidR="00CF6D26" w:rsidRPr="003201CB" w:rsidRDefault="00CF6D26" w:rsidP="00016407">
            <w:pPr>
              <w:pStyle w:val="Default"/>
              <w:tabs>
                <w:tab w:val="left" w:pos="533"/>
              </w:tabs>
              <w:jc w:val="both"/>
              <w:rPr>
                <w:color w:val="auto"/>
                <w:sz w:val="22"/>
                <w:szCs w:val="22"/>
                <w:lang w:val="en-US"/>
              </w:rPr>
            </w:pPr>
            <w:r>
              <w:rPr>
                <w:color w:val="auto"/>
                <w:sz w:val="22"/>
                <w:szCs w:val="22"/>
                <w:lang w:val="en-US"/>
              </w:rPr>
              <w:t xml:space="preserve">- </w:t>
            </w:r>
            <w:proofErr w:type="spellStart"/>
            <w:r w:rsidRPr="00F75B26">
              <w:rPr>
                <w:color w:val="auto"/>
                <w:sz w:val="22"/>
                <w:szCs w:val="22"/>
                <w:lang w:val="en-US"/>
              </w:rPr>
              <w:t>unauthorised</w:t>
            </w:r>
            <w:proofErr w:type="spellEnd"/>
            <w:r w:rsidRPr="00F75B26">
              <w:rPr>
                <w:color w:val="auto"/>
                <w:sz w:val="22"/>
                <w:szCs w:val="22"/>
                <w:lang w:val="en-US"/>
              </w:rPr>
              <w:t xml:space="preserve"> use and / or misuse of the insider information received in connection with the performance of professional activities</w:t>
            </w:r>
            <w:r>
              <w:rPr>
                <w:color w:val="auto"/>
                <w:sz w:val="22"/>
                <w:szCs w:val="22"/>
                <w:lang w:val="en-US"/>
              </w:rPr>
              <w:t>;</w:t>
            </w:r>
          </w:p>
        </w:tc>
      </w:tr>
      <w:tr w:rsidR="00CF6D26" w:rsidRPr="003201CB" w:rsidTr="00016407">
        <w:tc>
          <w:tcPr>
            <w:tcW w:w="4264" w:type="dxa"/>
            <w:shd w:val="clear" w:color="auto" w:fill="auto"/>
          </w:tcPr>
          <w:p w:rsidR="00CF6D26" w:rsidRPr="003201CB" w:rsidRDefault="00CF6D26" w:rsidP="00016407">
            <w:pPr>
              <w:pStyle w:val="Default"/>
              <w:jc w:val="both"/>
              <w:rPr>
                <w:sz w:val="22"/>
                <w:szCs w:val="22"/>
                <w:lang w:val="en-US"/>
              </w:rPr>
            </w:pPr>
          </w:p>
        </w:tc>
        <w:tc>
          <w:tcPr>
            <w:tcW w:w="4264" w:type="dxa"/>
            <w:shd w:val="clear" w:color="auto" w:fill="auto"/>
          </w:tcPr>
          <w:p w:rsidR="00CF6D26" w:rsidRPr="003201CB" w:rsidRDefault="00CF6D26" w:rsidP="00016407">
            <w:pPr>
              <w:pStyle w:val="Default"/>
              <w:jc w:val="both"/>
              <w:rPr>
                <w:color w:val="auto"/>
                <w:sz w:val="22"/>
                <w:szCs w:val="22"/>
                <w:lang w:val="en-US"/>
              </w:rPr>
            </w:pPr>
          </w:p>
        </w:tc>
      </w:tr>
      <w:tr w:rsidR="00CF6D26" w:rsidRPr="003201CB" w:rsidTr="00016407">
        <w:tc>
          <w:tcPr>
            <w:tcW w:w="4264" w:type="dxa"/>
            <w:shd w:val="clear" w:color="auto" w:fill="auto"/>
          </w:tcPr>
          <w:p w:rsidR="00CF6D26" w:rsidRPr="003201CB" w:rsidRDefault="00CF6D26" w:rsidP="00016407">
            <w:pPr>
              <w:pStyle w:val="Default"/>
              <w:tabs>
                <w:tab w:val="left" w:pos="558"/>
              </w:tabs>
              <w:jc w:val="both"/>
              <w:rPr>
                <w:sz w:val="22"/>
                <w:szCs w:val="22"/>
              </w:rPr>
            </w:pPr>
            <w:r w:rsidRPr="003D634C">
              <w:rPr>
                <w:sz w:val="22"/>
                <w:szCs w:val="22"/>
              </w:rPr>
              <w:t>-</w:t>
            </w:r>
            <w:r w:rsidRPr="003D634C">
              <w:rPr>
                <w:sz w:val="22"/>
                <w:szCs w:val="22"/>
              </w:rPr>
              <w:tab/>
              <w:t>противоправного распоряжения сотрудниками Банка ценными бумагами и денежными средствами Клиента;</w:t>
            </w:r>
          </w:p>
        </w:tc>
        <w:tc>
          <w:tcPr>
            <w:tcW w:w="4264" w:type="dxa"/>
            <w:shd w:val="clear" w:color="auto" w:fill="auto"/>
          </w:tcPr>
          <w:p w:rsidR="00CF6D26" w:rsidRPr="003201CB" w:rsidRDefault="00CF6D26" w:rsidP="00016407">
            <w:pPr>
              <w:pStyle w:val="Default"/>
              <w:tabs>
                <w:tab w:val="left" w:pos="522"/>
              </w:tabs>
              <w:jc w:val="both"/>
              <w:rPr>
                <w:color w:val="auto"/>
                <w:sz w:val="22"/>
                <w:szCs w:val="22"/>
                <w:lang w:val="en-US"/>
              </w:rPr>
            </w:pPr>
            <w:r>
              <w:rPr>
                <w:color w:val="auto"/>
                <w:sz w:val="22"/>
                <w:szCs w:val="22"/>
                <w:lang w:val="en-US"/>
              </w:rPr>
              <w:t xml:space="preserve">- </w:t>
            </w:r>
            <w:proofErr w:type="spellStart"/>
            <w:r w:rsidRPr="00F75B26">
              <w:rPr>
                <w:color w:val="auto"/>
                <w:sz w:val="22"/>
                <w:szCs w:val="22"/>
                <w:lang w:val="en-US"/>
              </w:rPr>
              <w:t>unauthorised</w:t>
            </w:r>
            <w:proofErr w:type="spellEnd"/>
            <w:r w:rsidRPr="00F75B26">
              <w:rPr>
                <w:color w:val="auto"/>
                <w:sz w:val="22"/>
                <w:szCs w:val="22"/>
                <w:lang w:val="en-US"/>
              </w:rPr>
              <w:t xml:space="preserve"> disposal by the Bank’s employees of the Client’s securities and funds</w:t>
            </w:r>
            <w:r>
              <w:rPr>
                <w:color w:val="auto"/>
                <w:sz w:val="22"/>
                <w:szCs w:val="22"/>
                <w:lang w:val="en-US"/>
              </w:rPr>
              <w:t>;</w:t>
            </w:r>
          </w:p>
        </w:tc>
      </w:tr>
      <w:tr w:rsidR="00CF6D26" w:rsidRPr="003201CB" w:rsidTr="00016407">
        <w:tc>
          <w:tcPr>
            <w:tcW w:w="4264" w:type="dxa"/>
            <w:shd w:val="clear" w:color="auto" w:fill="auto"/>
          </w:tcPr>
          <w:p w:rsidR="00CF6D26" w:rsidRPr="003201CB" w:rsidRDefault="00CF6D26" w:rsidP="00016407">
            <w:pPr>
              <w:pStyle w:val="Default"/>
              <w:jc w:val="both"/>
              <w:rPr>
                <w:sz w:val="22"/>
                <w:szCs w:val="22"/>
                <w:lang w:val="en-US"/>
              </w:rPr>
            </w:pPr>
          </w:p>
        </w:tc>
        <w:tc>
          <w:tcPr>
            <w:tcW w:w="4264" w:type="dxa"/>
            <w:shd w:val="clear" w:color="auto" w:fill="auto"/>
          </w:tcPr>
          <w:p w:rsidR="00CF6D26" w:rsidRPr="003201CB" w:rsidRDefault="00CF6D26" w:rsidP="00016407">
            <w:pPr>
              <w:pStyle w:val="Default"/>
              <w:jc w:val="both"/>
              <w:rPr>
                <w:color w:val="auto"/>
                <w:sz w:val="22"/>
                <w:szCs w:val="22"/>
                <w:lang w:val="en-US"/>
              </w:rPr>
            </w:pPr>
          </w:p>
        </w:tc>
      </w:tr>
      <w:tr w:rsidR="00CF6D26" w:rsidRPr="003201CB" w:rsidTr="00016407">
        <w:tc>
          <w:tcPr>
            <w:tcW w:w="4264" w:type="dxa"/>
            <w:shd w:val="clear" w:color="auto" w:fill="auto"/>
          </w:tcPr>
          <w:p w:rsidR="00CF6D26" w:rsidRPr="003201CB" w:rsidRDefault="00CF6D26" w:rsidP="00016407">
            <w:pPr>
              <w:pStyle w:val="Default"/>
              <w:tabs>
                <w:tab w:val="left" w:pos="588"/>
              </w:tabs>
              <w:jc w:val="both"/>
              <w:rPr>
                <w:sz w:val="22"/>
                <w:szCs w:val="22"/>
              </w:rPr>
            </w:pPr>
            <w:r w:rsidRPr="00A946B4">
              <w:rPr>
                <w:sz w:val="22"/>
                <w:szCs w:val="22"/>
              </w:rPr>
              <w:t>- недостаточно  полного  раскрытия  информации  в  связи  с  осуществлением профессиональной деятельности.</w:t>
            </w:r>
          </w:p>
        </w:tc>
        <w:tc>
          <w:tcPr>
            <w:tcW w:w="4264" w:type="dxa"/>
            <w:shd w:val="clear" w:color="auto" w:fill="auto"/>
          </w:tcPr>
          <w:p w:rsidR="00CF6D26" w:rsidRPr="003201CB" w:rsidRDefault="00CF6D26" w:rsidP="00016407">
            <w:pPr>
              <w:pStyle w:val="Default"/>
              <w:tabs>
                <w:tab w:val="left" w:pos="553"/>
              </w:tabs>
              <w:jc w:val="both"/>
              <w:rPr>
                <w:color w:val="auto"/>
                <w:sz w:val="22"/>
                <w:szCs w:val="22"/>
                <w:lang w:val="en-US"/>
              </w:rPr>
            </w:pPr>
            <w:r>
              <w:rPr>
                <w:color w:val="auto"/>
                <w:sz w:val="22"/>
                <w:szCs w:val="22"/>
                <w:lang w:val="en-US"/>
              </w:rPr>
              <w:t xml:space="preserve">- </w:t>
            </w:r>
            <w:proofErr w:type="gramStart"/>
            <w:r w:rsidRPr="00464364">
              <w:rPr>
                <w:color w:val="auto"/>
                <w:sz w:val="22"/>
                <w:szCs w:val="22"/>
                <w:lang w:val="en-US"/>
              </w:rPr>
              <w:t>insufficient</w:t>
            </w:r>
            <w:proofErr w:type="gramEnd"/>
            <w:r w:rsidRPr="00464364">
              <w:rPr>
                <w:color w:val="auto"/>
                <w:sz w:val="22"/>
                <w:szCs w:val="22"/>
                <w:lang w:val="en-US"/>
              </w:rPr>
              <w:t xml:space="preserve"> information disclosure in connection with the performance of professional activities</w:t>
            </w:r>
            <w:r>
              <w:rPr>
                <w:color w:val="auto"/>
                <w:sz w:val="22"/>
                <w:szCs w:val="22"/>
                <w:lang w:val="en-US"/>
              </w:rPr>
              <w:t>.</w:t>
            </w:r>
          </w:p>
        </w:tc>
      </w:tr>
      <w:tr w:rsidR="00CF6D26" w:rsidRPr="003201CB" w:rsidTr="00016407">
        <w:tc>
          <w:tcPr>
            <w:tcW w:w="4264" w:type="dxa"/>
            <w:shd w:val="clear" w:color="auto" w:fill="auto"/>
          </w:tcPr>
          <w:p w:rsidR="00CF6D26" w:rsidRPr="003201CB" w:rsidRDefault="00CF6D26" w:rsidP="00016407">
            <w:pPr>
              <w:pStyle w:val="Default"/>
              <w:jc w:val="both"/>
              <w:rPr>
                <w:sz w:val="22"/>
                <w:szCs w:val="22"/>
                <w:lang w:val="en-US"/>
              </w:rPr>
            </w:pPr>
          </w:p>
        </w:tc>
        <w:tc>
          <w:tcPr>
            <w:tcW w:w="4264" w:type="dxa"/>
            <w:shd w:val="clear" w:color="auto" w:fill="auto"/>
          </w:tcPr>
          <w:p w:rsidR="00CF6D26" w:rsidRPr="003201CB" w:rsidRDefault="00CF6D26" w:rsidP="00016407">
            <w:pPr>
              <w:pStyle w:val="Default"/>
              <w:jc w:val="both"/>
              <w:rPr>
                <w:color w:val="auto"/>
                <w:sz w:val="22"/>
                <w:szCs w:val="22"/>
                <w:lang w:val="en-US"/>
              </w:rPr>
            </w:pPr>
          </w:p>
        </w:tc>
      </w:tr>
      <w:tr w:rsidR="00CF6D26" w:rsidRPr="003201CB" w:rsidTr="00016407">
        <w:tc>
          <w:tcPr>
            <w:tcW w:w="4264" w:type="dxa"/>
            <w:shd w:val="clear" w:color="auto" w:fill="auto"/>
          </w:tcPr>
          <w:p w:rsidR="00CF6D26" w:rsidRPr="003201CB" w:rsidRDefault="00CF6D26" w:rsidP="00016407">
            <w:pPr>
              <w:pStyle w:val="Default"/>
              <w:tabs>
                <w:tab w:val="left" w:pos="588"/>
              </w:tabs>
              <w:jc w:val="both"/>
              <w:rPr>
                <w:sz w:val="22"/>
                <w:szCs w:val="22"/>
              </w:rPr>
            </w:pPr>
            <w:r w:rsidRPr="00A946B4">
              <w:rPr>
                <w:sz w:val="22"/>
                <w:szCs w:val="22"/>
              </w:rPr>
              <w:t xml:space="preserve">3. При совмещении профессиональной </w:t>
            </w:r>
            <w:r w:rsidRPr="00A946B4">
              <w:rPr>
                <w:sz w:val="22"/>
                <w:szCs w:val="22"/>
              </w:rPr>
              <w:lastRenderedPageBreak/>
              <w:t>деятельности с деятельностью кредитной организации, возникает риск нанесения ущерба Клиенту при отзыве лицензии кредитной организации, который влечет за собой аннулирование лицензии профессионального участника.</w:t>
            </w:r>
          </w:p>
        </w:tc>
        <w:tc>
          <w:tcPr>
            <w:tcW w:w="4264" w:type="dxa"/>
            <w:shd w:val="clear" w:color="auto" w:fill="auto"/>
          </w:tcPr>
          <w:p w:rsidR="00CF6D26" w:rsidRPr="003201CB" w:rsidRDefault="00CF6D26" w:rsidP="00016407">
            <w:pPr>
              <w:pStyle w:val="Default"/>
              <w:tabs>
                <w:tab w:val="left" w:pos="553"/>
              </w:tabs>
              <w:jc w:val="both"/>
              <w:rPr>
                <w:color w:val="auto"/>
                <w:sz w:val="22"/>
                <w:szCs w:val="22"/>
                <w:lang w:val="en-US"/>
              </w:rPr>
            </w:pPr>
            <w:r>
              <w:rPr>
                <w:color w:val="auto"/>
                <w:sz w:val="22"/>
                <w:szCs w:val="22"/>
                <w:lang w:val="en-US"/>
              </w:rPr>
              <w:lastRenderedPageBreak/>
              <w:t xml:space="preserve">3. </w:t>
            </w:r>
            <w:r w:rsidRPr="00F75B26">
              <w:rPr>
                <w:color w:val="auto"/>
                <w:sz w:val="22"/>
                <w:szCs w:val="22"/>
                <w:lang w:val="en-US"/>
              </w:rPr>
              <w:t xml:space="preserve">Due to the combination of professional </w:t>
            </w:r>
            <w:r w:rsidRPr="00F75B26">
              <w:rPr>
                <w:color w:val="auto"/>
                <w:sz w:val="22"/>
                <w:szCs w:val="22"/>
                <w:lang w:val="en-US"/>
              </w:rPr>
              <w:lastRenderedPageBreak/>
              <w:t>activities and the credit institution’s activities, the Client is exposed to the risk of losses as the credit institution’s license may be revoked, thus leading to the trader license cancellation</w:t>
            </w:r>
            <w:r>
              <w:rPr>
                <w:color w:val="auto"/>
                <w:sz w:val="22"/>
                <w:szCs w:val="22"/>
                <w:lang w:val="en-US"/>
              </w:rPr>
              <w:t>.</w:t>
            </w:r>
          </w:p>
        </w:tc>
      </w:tr>
      <w:tr w:rsidR="00CF6D26" w:rsidRPr="003201CB" w:rsidTr="00016407">
        <w:tc>
          <w:tcPr>
            <w:tcW w:w="4264" w:type="dxa"/>
            <w:shd w:val="clear" w:color="auto" w:fill="auto"/>
          </w:tcPr>
          <w:p w:rsidR="00CF6D26" w:rsidRPr="003201CB" w:rsidRDefault="00CF6D26" w:rsidP="00016407">
            <w:pPr>
              <w:pStyle w:val="Default"/>
              <w:jc w:val="both"/>
              <w:rPr>
                <w:sz w:val="22"/>
                <w:szCs w:val="22"/>
                <w:lang w:val="en-US"/>
              </w:rPr>
            </w:pPr>
          </w:p>
        </w:tc>
        <w:tc>
          <w:tcPr>
            <w:tcW w:w="4264" w:type="dxa"/>
            <w:shd w:val="clear" w:color="auto" w:fill="auto"/>
          </w:tcPr>
          <w:p w:rsidR="00CF6D26" w:rsidRPr="003201CB" w:rsidRDefault="00CF6D26" w:rsidP="00016407">
            <w:pPr>
              <w:pStyle w:val="Default"/>
              <w:jc w:val="both"/>
              <w:rPr>
                <w:color w:val="auto"/>
                <w:sz w:val="22"/>
                <w:szCs w:val="22"/>
                <w:lang w:val="en-US"/>
              </w:rPr>
            </w:pPr>
          </w:p>
        </w:tc>
      </w:tr>
      <w:tr w:rsidR="00CF6D26" w:rsidRPr="003201CB" w:rsidTr="00016407">
        <w:tc>
          <w:tcPr>
            <w:tcW w:w="4264" w:type="dxa"/>
            <w:shd w:val="clear" w:color="auto" w:fill="auto"/>
          </w:tcPr>
          <w:p w:rsidR="00CF6D26" w:rsidRPr="00A946B4" w:rsidRDefault="00CF6D26" w:rsidP="00016407">
            <w:pPr>
              <w:pStyle w:val="Default"/>
              <w:tabs>
                <w:tab w:val="left" w:pos="558"/>
              </w:tabs>
              <w:jc w:val="both"/>
              <w:rPr>
                <w:sz w:val="22"/>
                <w:szCs w:val="22"/>
              </w:rPr>
            </w:pPr>
            <w:r w:rsidRPr="00A946B4">
              <w:rPr>
                <w:sz w:val="22"/>
                <w:szCs w:val="22"/>
              </w:rPr>
              <w:t>4. При совмещении нескольких видов профессиональной деятельности или профессиональной деятельности с иными видами деятельности, существует риск возникновения недостаточности капитала для исполнения всех обязательств по возврату финансовых активов.</w:t>
            </w:r>
          </w:p>
        </w:tc>
        <w:tc>
          <w:tcPr>
            <w:tcW w:w="4264" w:type="dxa"/>
            <w:shd w:val="clear" w:color="auto" w:fill="auto"/>
          </w:tcPr>
          <w:p w:rsidR="00CF6D26" w:rsidRPr="003201CB" w:rsidRDefault="00CF6D26" w:rsidP="00016407">
            <w:pPr>
              <w:pStyle w:val="Default"/>
              <w:jc w:val="both"/>
              <w:rPr>
                <w:color w:val="auto"/>
                <w:sz w:val="22"/>
                <w:szCs w:val="22"/>
                <w:lang w:val="en-US"/>
              </w:rPr>
            </w:pPr>
            <w:r>
              <w:rPr>
                <w:color w:val="auto"/>
                <w:sz w:val="22"/>
                <w:szCs w:val="22"/>
                <w:lang w:val="en-US"/>
              </w:rPr>
              <w:t xml:space="preserve">4. </w:t>
            </w:r>
            <w:r w:rsidRPr="00F75B26">
              <w:rPr>
                <w:color w:val="auto"/>
                <w:sz w:val="22"/>
                <w:szCs w:val="22"/>
                <w:lang w:val="en-US"/>
              </w:rPr>
              <w:t>When combining several types of professional activities or professional activities and any other activities, there is a capital risk when meeting all obligations related to the return of financial assets</w:t>
            </w:r>
            <w:r>
              <w:rPr>
                <w:color w:val="auto"/>
                <w:sz w:val="22"/>
                <w:szCs w:val="22"/>
                <w:lang w:val="en-US"/>
              </w:rPr>
              <w:t>.</w:t>
            </w:r>
          </w:p>
        </w:tc>
      </w:tr>
      <w:tr w:rsidR="00CF6D26" w:rsidRPr="003201CB" w:rsidTr="00016407">
        <w:tc>
          <w:tcPr>
            <w:tcW w:w="4264" w:type="dxa"/>
            <w:shd w:val="clear" w:color="auto" w:fill="auto"/>
          </w:tcPr>
          <w:p w:rsidR="00CF6D26" w:rsidRPr="003201CB" w:rsidRDefault="00CF6D26" w:rsidP="00016407">
            <w:pPr>
              <w:pStyle w:val="Default"/>
              <w:jc w:val="both"/>
              <w:rPr>
                <w:sz w:val="22"/>
                <w:szCs w:val="22"/>
                <w:lang w:val="en-US"/>
              </w:rPr>
            </w:pPr>
          </w:p>
        </w:tc>
        <w:tc>
          <w:tcPr>
            <w:tcW w:w="4264" w:type="dxa"/>
            <w:shd w:val="clear" w:color="auto" w:fill="auto"/>
          </w:tcPr>
          <w:p w:rsidR="00CF6D26" w:rsidRPr="003201CB" w:rsidRDefault="00CF6D26" w:rsidP="00016407">
            <w:pPr>
              <w:pStyle w:val="Default"/>
              <w:jc w:val="both"/>
              <w:rPr>
                <w:color w:val="auto"/>
                <w:sz w:val="22"/>
                <w:szCs w:val="22"/>
                <w:lang w:val="en-US"/>
              </w:rPr>
            </w:pPr>
          </w:p>
        </w:tc>
      </w:tr>
      <w:tr w:rsidR="00CF6D26" w:rsidRPr="003201CB" w:rsidTr="00016407">
        <w:tc>
          <w:tcPr>
            <w:tcW w:w="4264" w:type="dxa"/>
            <w:shd w:val="clear" w:color="auto" w:fill="auto"/>
          </w:tcPr>
          <w:p w:rsidR="00CF6D26" w:rsidRPr="00E461C7" w:rsidRDefault="00CF6D26" w:rsidP="00016407">
            <w:pPr>
              <w:pStyle w:val="Default"/>
              <w:tabs>
                <w:tab w:val="left" w:pos="558"/>
              </w:tabs>
              <w:jc w:val="both"/>
              <w:rPr>
                <w:sz w:val="22"/>
                <w:szCs w:val="22"/>
                <w:lang w:val="en-US"/>
              </w:rPr>
            </w:pPr>
          </w:p>
        </w:tc>
        <w:tc>
          <w:tcPr>
            <w:tcW w:w="4264" w:type="dxa"/>
            <w:shd w:val="clear" w:color="auto" w:fill="auto"/>
          </w:tcPr>
          <w:p w:rsidR="00CF6D26" w:rsidRPr="003201CB" w:rsidRDefault="00CF6D26" w:rsidP="00016407">
            <w:pPr>
              <w:pStyle w:val="Default"/>
              <w:jc w:val="both"/>
              <w:rPr>
                <w:color w:val="auto"/>
                <w:sz w:val="22"/>
                <w:szCs w:val="22"/>
                <w:lang w:val="en-US"/>
              </w:rPr>
            </w:pPr>
          </w:p>
        </w:tc>
      </w:tr>
    </w:tbl>
    <w:p w:rsidR="00CF6D26" w:rsidRPr="00A946B4" w:rsidRDefault="00CF6D26" w:rsidP="00CF6D26">
      <w:pPr>
        <w:rPr>
          <w:lang w:val="en-US"/>
        </w:rPr>
      </w:pPr>
    </w:p>
    <w:p w:rsidR="00C765D5" w:rsidRPr="00CF6D26" w:rsidRDefault="00C765D5">
      <w:pPr>
        <w:rPr>
          <w:lang w:val="en-US"/>
        </w:rPr>
      </w:pPr>
    </w:p>
    <w:sectPr w:rsidR="00C765D5" w:rsidRPr="00CF6D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A56BC"/>
    <w:multiLevelType w:val="hybridMultilevel"/>
    <w:tmpl w:val="6C2C5734"/>
    <w:lvl w:ilvl="0" w:tplc="FFFFFFFF">
      <w:start w:val="1"/>
      <w:numFmt w:val="bullet"/>
      <w:pStyle w:val="CharCar"/>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D26"/>
    <w:rsid w:val="00C765D5"/>
    <w:rsid w:val="00CF6D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6D26"/>
    <w:pPr>
      <w:autoSpaceDE w:val="0"/>
      <w:autoSpaceDN w:val="0"/>
      <w:adjustRightInd w:val="0"/>
      <w:spacing w:after="0" w:line="240" w:lineRule="auto"/>
    </w:pPr>
    <w:rPr>
      <w:rFonts w:ascii="Times New Roman" w:eastAsia="MS Mincho" w:hAnsi="Times New Roman" w:cs="Times New Roman"/>
      <w:color w:val="000000"/>
      <w:sz w:val="24"/>
      <w:szCs w:val="24"/>
      <w:lang w:val="ru-RU" w:eastAsia="ja-JP"/>
    </w:rPr>
  </w:style>
  <w:style w:type="paragraph" w:customStyle="1" w:styleId="CharCar">
    <w:name w:val=" Char Car"/>
    <w:basedOn w:val="Normal"/>
    <w:rsid w:val="00CF6D26"/>
    <w:pPr>
      <w:numPr>
        <w:numId w:val="1"/>
      </w:numPr>
      <w:tabs>
        <w:tab w:val="clear" w:pos="1080"/>
      </w:tabs>
      <w:spacing w:after="160" w:line="240" w:lineRule="exact"/>
      <w:ind w:left="0" w:firstLine="0"/>
    </w:pPr>
    <w:rPr>
      <w:rFonts w:ascii="Verdana" w:eastAsia="Times New Roman" w:hAnsi="Verdan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6D26"/>
    <w:pPr>
      <w:autoSpaceDE w:val="0"/>
      <w:autoSpaceDN w:val="0"/>
      <w:adjustRightInd w:val="0"/>
      <w:spacing w:after="0" w:line="240" w:lineRule="auto"/>
    </w:pPr>
    <w:rPr>
      <w:rFonts w:ascii="Times New Roman" w:eastAsia="MS Mincho" w:hAnsi="Times New Roman" w:cs="Times New Roman"/>
      <w:color w:val="000000"/>
      <w:sz w:val="24"/>
      <w:szCs w:val="24"/>
      <w:lang w:val="ru-RU" w:eastAsia="ja-JP"/>
    </w:rPr>
  </w:style>
  <w:style w:type="paragraph" w:customStyle="1" w:styleId="CharCar">
    <w:name w:val=" Char Car"/>
    <w:basedOn w:val="Normal"/>
    <w:rsid w:val="00CF6D26"/>
    <w:pPr>
      <w:numPr>
        <w:numId w:val="1"/>
      </w:numPr>
      <w:tabs>
        <w:tab w:val="clear" w:pos="1080"/>
      </w:tabs>
      <w:spacing w:after="160" w:line="240" w:lineRule="exact"/>
      <w:ind w:left="0" w:firstLine="0"/>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3057</Characters>
  <Application>Microsoft Office Word</Application>
  <DocSecurity>0</DocSecurity>
  <Lines>25</Lines>
  <Paragraphs>7</Paragraphs>
  <ScaleCrop>false</ScaleCrop>
  <Company>BNP Paribas</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SANDAKOV</dc:creator>
  <cp:lastModifiedBy>Sergey SANDAKOV</cp:lastModifiedBy>
  <cp:revision>1</cp:revision>
  <dcterms:created xsi:type="dcterms:W3CDTF">2018-05-24T09:03:00Z</dcterms:created>
  <dcterms:modified xsi:type="dcterms:W3CDTF">2018-05-24T09:04:00Z</dcterms:modified>
</cp:coreProperties>
</file>